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tLeast" w:line="224" w:beforeAutospacing="1" w:after="200"/>
        <w:rPr>
          <w:rFonts w:eastAsia="Times New Roman" w:cs="Arial"/>
          <w:b/>
          <w:color w:val="244061"/>
          <w:sz w:val="32"/>
          <w:szCs w:val="32"/>
          <w:lang w:eastAsia="ru-RU"/>
        </w:rPr>
      </w:pPr>
      <w:r>
        <w:rPr>
          <w:rFonts w:eastAsia="Times New Roman" w:cs="Arial"/>
          <w:b/>
          <w:color w:val="244061"/>
          <w:sz w:val="32"/>
          <w:szCs w:val="32"/>
          <w:lang w:eastAsia="ru-RU"/>
        </w:rPr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center"/>
        <w:rPr>
          <w:rFonts w:eastAsia="Times New Roman" w:cs="Arial" w:ascii="Arial" w:hAnsi="Arial"/>
          <w:b/>
          <w:color w:val="244061"/>
          <w:sz w:val="32"/>
          <w:szCs w:val="32"/>
          <w:lang w:eastAsia="ru-RU"/>
        </w:rPr>
      </w:pPr>
      <w:r>
        <w:rPr>
          <w:rFonts w:eastAsia="Times New Roman" w:cs="Arial" w:ascii="Arial" w:hAnsi="Arial"/>
          <w:b/>
          <w:color w:val="244061"/>
          <w:sz w:val="32"/>
          <w:szCs w:val="32"/>
          <w:lang w:eastAsia="ru-RU"/>
        </w:rPr>
        <w:t>Лечение детей в Германии</w:t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both"/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С увеличением загрязнения окружающей среды, ухудшением качества еды, усиленным радиационным влиянием, а также прогрессированием других негативных факторов - здоровье самых младших представителей человечества претерпевает большие испытания и нагрузки. Лучшие и кардинально новые медицинские услуги лечения детей предлагаются высококвалифицированными специалистами в Германии. Знаком отличия и высокими стандартами лечения детей в Германии выделяется </w:t>
      </w: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 xml:space="preserve">Международная Академия нормативной медицины и исследований сознания INAKARB. Ее абсолютно инновационная система лечения детей в Германии основана на знаниях биофизики, квантовой физики, космической медицины. Где все вопросы заболеваний решаются на фундаментальных уровнях существования живого – молекулярном, атомном, энергетическом, без грубого вмешательства в тончайшую структуру организма.  </w:t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Наша команда опытных и признанных профессионалов действует только в соответствии с существующими европейскими положениями о лечении детей в Германии и предлагает комплексную медицинскую помощь по следующим пунктам детских заболеваний:</w:t>
      </w:r>
    </w:p>
    <w:p>
      <w:pPr>
        <w:pStyle w:val="ListParagraph"/>
        <w:numPr>
          <w:ilvl w:val="0"/>
          <w:numId w:val="3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аллергические реакции и инфекционные поражения;</w:t>
      </w:r>
    </w:p>
    <w:p>
      <w:pPr>
        <w:pStyle w:val="ListParagraph"/>
        <w:numPr>
          <w:ilvl w:val="0"/>
          <w:numId w:val="3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генетические болезни;</w:t>
      </w:r>
    </w:p>
    <w:p>
      <w:pPr>
        <w:pStyle w:val="ListParagraph"/>
        <w:numPr>
          <w:ilvl w:val="0"/>
          <w:numId w:val="3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педиатрические хронические заболевания;</w:t>
      </w:r>
    </w:p>
    <w:p>
      <w:pPr>
        <w:pStyle w:val="ListParagraph"/>
        <w:numPr>
          <w:ilvl w:val="0"/>
          <w:numId w:val="3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ортопедия;</w:t>
      </w:r>
    </w:p>
    <w:p>
      <w:pPr>
        <w:pStyle w:val="ListParagraph"/>
        <w:numPr>
          <w:ilvl w:val="0"/>
          <w:numId w:val="3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неврологические и психические расстройства;</w:t>
      </w:r>
    </w:p>
    <w:p>
      <w:pPr>
        <w:pStyle w:val="ListParagraph"/>
        <w:numPr>
          <w:ilvl w:val="0"/>
          <w:numId w:val="3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психологическая дезадаптация, гиперактивность, нарушения в научении.</w:t>
      </w:r>
    </w:p>
    <w:p>
      <w:pPr>
        <w:pStyle w:val="Normal"/>
        <w:shd w:fill="FFFFFF" w:val="clear"/>
        <w:spacing w:lineRule="atLeast" w:line="240" w:before="0" w:after="0"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center"/>
        <w:rPr>
          <w:rFonts w:eastAsia="Times New Roman" w:cs="Arial" w:ascii="Arial" w:hAnsi="Arial"/>
          <w:b/>
          <w:color w:val="244061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b/>
          <w:color w:val="244061"/>
          <w:sz w:val="24"/>
          <w:szCs w:val="24"/>
          <w:lang w:eastAsia="ru-RU"/>
        </w:rPr>
        <w:t xml:space="preserve">Диагностика в клинике </w:t>
      </w:r>
      <w:r>
        <w:rPr>
          <w:rFonts w:eastAsia="Times New Roman" w:cs="Arial" w:ascii="Arial" w:hAnsi="Arial"/>
          <w:b/>
          <w:color w:val="244061"/>
          <w:sz w:val="24"/>
          <w:szCs w:val="24"/>
          <w:shd w:fill="FFFFFF" w:val="clear"/>
          <w:lang w:eastAsia="ru-RU"/>
        </w:rPr>
        <w:t>INAKARB</w:t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Если говорить о диагностических мерах, то они будут самыми современными, так как многие из них были в свое время созданы великими научными деятелями и прошли многолетние испытания в космических исследованиях. Диагностические приборы для лечения детей в клинике </w:t>
      </w: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>INAKARB в Германии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точно и достоверно определяют нагрузки, нарушения в энергетическом поле. К диагностическому арсеналу методов принадлежат следующие основные виды:  </w:t>
      </w:r>
    </w:p>
    <w:p>
      <w:pPr>
        <w:pStyle w:val="ListParagraph"/>
        <w:numPr>
          <w:ilvl w:val="0"/>
          <w:numId w:val="4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>прибор «BIOGRAPH» - помогает изучить состояние энергетических запасов в меридианах электромагнитного поля организма. Переизбыток или недостаток энергии влияет на появление внутренних заболеваний;</w:t>
      </w:r>
    </w:p>
    <w:p>
      <w:pPr>
        <w:pStyle w:val="ListParagraph"/>
        <w:numPr>
          <w:ilvl w:val="0"/>
          <w:numId w:val="4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>прибор «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HFA» - анализ частоты вариабельности сердечных сокращений позволяет установить согласованность работы симпатической и парасимпатической нервной системы как основного механизм управления всех функций организма;</w:t>
      </w:r>
    </w:p>
    <w:p>
      <w:pPr>
        <w:pStyle w:val="ListParagraph"/>
        <w:numPr>
          <w:ilvl w:val="0"/>
          <w:numId w:val="4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Электрокардиография (ЭКГ) - точная фиксация активности, векторов полей сердечной мышцы;</w:t>
      </w:r>
    </w:p>
    <w:p>
      <w:pPr>
        <w:pStyle w:val="ListParagraph"/>
        <w:numPr>
          <w:ilvl w:val="0"/>
          <w:numId w:val="4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CoRе (устанавливает токсичные нагрузки), биосенсорные нейрологические измерения, VEP и т.д. </w:t>
      </w:r>
    </w:p>
    <w:p>
      <w:pPr>
        <w:pStyle w:val="ListParagraph"/>
        <w:shd w:fill="FFFFFF" w:val="clear"/>
        <w:spacing w:lineRule="atLeast" w:line="240" w:before="0" w:after="0"/>
        <w:ind w:left="709" w:right="0" w:hanging="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center"/>
        <w:rPr>
          <w:rFonts w:eastAsia="Times New Roman" w:cs="Arial" w:ascii="Arial" w:hAnsi="Arial"/>
          <w:b/>
          <w:color w:val="244061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b/>
          <w:color w:val="244061"/>
          <w:sz w:val="24"/>
          <w:szCs w:val="24"/>
          <w:lang w:eastAsia="ru-RU"/>
        </w:rPr>
        <w:t xml:space="preserve">Терапевтические мероприятия в центре </w:t>
      </w:r>
      <w:r>
        <w:rPr>
          <w:rFonts w:eastAsia="Times New Roman" w:cs="Arial" w:ascii="Arial" w:hAnsi="Arial"/>
          <w:b/>
          <w:color w:val="244061"/>
          <w:sz w:val="24"/>
          <w:szCs w:val="24"/>
          <w:shd w:fill="FFFFFF" w:val="clear"/>
          <w:lang w:eastAsia="ru-RU"/>
        </w:rPr>
        <w:t>INAKARB</w:t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both"/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Одна из главных характеристик лечения детей клиники </w:t>
      </w: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 xml:space="preserve">INAKARB в Германии – целостность и систематичность влияния. Мы работаем комплексно, с учетом всех биофизических потребностей и состояния организма. Для реализации успешного лечения детей, доктора высокого класса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клиники </w:t>
      </w: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 xml:space="preserve">INAKARB в Германии, применяют высокоэффективный, без побочных эффектов спектр следующих терапевтических практик: </w:t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color w:val="244061"/>
          <w:sz w:val="20"/>
          <w:szCs w:val="20"/>
          <w:lang w:eastAsia="ru-RU"/>
        </w:rPr>
        <w:t xml:space="preserve">цветовая терапия –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естественные физиологические и психологические реакции организма на тот или иной спектр цвета, разрешают нашим специалистам создавать эффективные индивидуальные планы лечения детей в Германии;  </w:t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color w:val="244061"/>
          <w:sz w:val="20"/>
          <w:szCs w:val="20"/>
          <w:lang w:eastAsia="ru-RU"/>
        </w:rPr>
        <w:t xml:space="preserve">витаминная терапия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– лечение детей строится на четком анализе биохимического состояния организма. Врачи нашей клиники в Германии разрабатывают систему питания и приемов дополнительных витаминных комплексов; </w:t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color w:val="244061"/>
          <w:sz w:val="20"/>
          <w:szCs w:val="20"/>
          <w:lang w:eastAsia="ru-RU"/>
        </w:rPr>
        <w:t xml:space="preserve">звуковая терапия –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для ее проведения используют специальные проводники с определенной частотной способностью, которые крепятся в области слухового аппарата. Дальше позитивные колебания поступаю в корковую область, и синхронизируют работу всех важных структур управления головного мозга. Лечение детей в Германии с помощью частотного звука, особенно помогает преодолевать стрессовые состояния;</w:t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color w:val="244061"/>
          <w:sz w:val="20"/>
          <w:szCs w:val="20"/>
          <w:lang w:eastAsia="ru-RU"/>
        </w:rPr>
        <w:t xml:space="preserve">методы биорезонансной терапии (Vitascanning, SCIO, Life)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– уникальные по своим целебным свойствам безболезненные воздействия излучений электромагнитных приборов, формируют новую ультрасовременную и универсальную методику лечения детей в Германии. Установлено и доказано, что каждому заболеванию, будь-то физическому или психологическому, предшествуют изменения в энергетической структуре биополя, провоцирующие ослабление организма. Поэтому наши специалисты рекомендуют использовать электромагнитные волны, которые при достижении тканей тела начинают восстанавливать диапазон частот на уровне ДНК, клеток и межклеточной среды. </w:t>
      </w:r>
    </w:p>
    <w:p>
      <w:pPr>
        <w:pStyle w:val="ListParagraph"/>
        <w:numPr>
          <w:ilvl w:val="0"/>
          <w:numId w:val="1"/>
        </w:numPr>
        <w:shd w:fill="FFFFFF" w:val="clear"/>
        <w:spacing w:lineRule="atLeast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color w:val="244061"/>
          <w:sz w:val="20"/>
          <w:szCs w:val="20"/>
          <w:lang w:eastAsia="ru-RU"/>
        </w:rPr>
        <w:t>EEG-brain-mapping (электроэнцефалография)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– всемирно известный метод, предназначенный для изучения активности коры головного мозга. Специалисты нашей клиники помогут вам узнать об особенностях протекания мозговой деятельности, какие ее стороны имеют нарушения, пассивность, а какие наоборот очень эффективны в выполнении своих задачах. Кроме того, это тот прибор, который точно визуализирует всю картину динамической нейронной активности мозга, что очень важно для правильного лечения детей в клинике</w:t>
      </w: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 xml:space="preserve"> INAKARB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в Германии. Особые возможности метода разрешают создавать специальные терапевтические стратегии, которые повышают степень обучаемости и организованности психических процессов. </w:t>
      </w:r>
    </w:p>
    <w:p>
      <w:pPr>
        <w:pStyle w:val="Normal"/>
        <w:shd w:fill="FFFFFF" w:val="clear"/>
        <w:spacing w:lineRule="atLeast" w:line="240" w:before="0" w:after="0"/>
        <w:ind w:left="0" w:right="0" w:firstLine="709"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Лечение детей клиники </w:t>
      </w:r>
      <w:r>
        <w:rPr>
          <w:rFonts w:eastAsia="Times New Roman" w:cs="Arial" w:ascii="Arial" w:hAnsi="Arial"/>
          <w:color w:val="244061"/>
          <w:sz w:val="20"/>
          <w:szCs w:val="20"/>
          <w:shd w:fill="FFFFFF" w:val="clear"/>
          <w:lang w:eastAsia="ru-RU"/>
        </w:rPr>
        <w:t>INAKARB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в Германии построено на четких математических и биофизических алгоритмах, обладающие объективными научными фактами доказательства их целесообразности, эффективности проведения. При этом сам процесс исцеления остается очень простым, комфортным и приятным для маленьких пациентов. </w:t>
      </w:r>
    </w:p>
    <w:p>
      <w:pPr>
        <w:pStyle w:val="Normal"/>
        <w:spacing w:lineRule="atLeast" w:line="240" w:before="0" w:after="0"/>
        <w:ind w:left="0" w:right="0" w:firstLine="709"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</w:r>
    </w:p>
    <w:p>
      <w:pPr>
        <w:pStyle w:val="Normal"/>
        <w:spacing w:lineRule="atLeast" w:line="240" w:before="0" w:after="0"/>
        <w:ind w:left="0" w:right="0" w:firstLine="709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4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9366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ppleconvertedspace" w:customStyle="1">
    <w:name w:val="apple-converted-space"/>
    <w:rsid w:val="00765308"/>
    <w:basedOn w:val="DefaultParagraphFont"/>
    <w:rPr/>
  </w:style>
  <w:style w:type="character" w:styleId="Strong">
    <w:name w:val="Strong"/>
    <w:uiPriority w:val="22"/>
    <w:qFormat/>
    <w:rsid w:val="009d09e2"/>
    <w:basedOn w:val="DefaultParagraphFont"/>
    <w:rPr>
      <w:b/>
      <w:bCs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20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unhideWhenUsed/>
    <w:rsid w:val="00765308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uiPriority w:val="34"/>
    <w:qFormat/>
    <w:rsid w:val="00765308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2014-05-01T06:34:00Z</dcterms:created>
  <dc:creator>Admin</dc:creator>
  <dc:language>ru-RU</dc:language>
  <cp:lastModifiedBy>Admin</cp:lastModifiedBy>
  <dcterms:modified xsi:type="dcterms:W3CDTF">2014-05-02T03:33:00Z</dcterms:modified>
  <cp:revision>21</cp:revision>
</cp:coreProperties>
</file>